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33DD9" w14:textId="77777777" w:rsidR="00CB2E63" w:rsidRDefault="00CB2E63" w:rsidP="00CB2E63">
      <w:pPr>
        <w:rPr>
          <w:rFonts w:ascii="Helvetica" w:eastAsia="Times New Roman" w:hAnsi="Helvetica" w:cs="Helvetica"/>
          <w:sz w:val="24"/>
          <w:szCs w:val="24"/>
        </w:rPr>
      </w:pPr>
      <w:r>
        <w:rPr>
          <w:rFonts w:ascii="Helvetica" w:eastAsia="Times New Roman" w:hAnsi="Helvetica" w:cs="Helvetica"/>
          <w:sz w:val="24"/>
          <w:szCs w:val="24"/>
        </w:rPr>
        <w:t>I appreciate the OIRA considerations for broadening public input to the regulatory process.  I have a fairly general comment.  </w:t>
      </w:r>
    </w:p>
    <w:p w14:paraId="31088161" w14:textId="77777777" w:rsidR="00CB2E63" w:rsidRDefault="00CB2E63" w:rsidP="00CB2E63">
      <w:pPr>
        <w:rPr>
          <w:rFonts w:ascii="Helvetica" w:eastAsia="Times New Roman" w:hAnsi="Helvetica" w:cs="Helvetica"/>
          <w:sz w:val="24"/>
          <w:szCs w:val="24"/>
        </w:rPr>
      </w:pPr>
    </w:p>
    <w:p w14:paraId="2E582E05" w14:textId="77777777" w:rsidR="00CB2E63" w:rsidRDefault="00CB2E63" w:rsidP="00CB2E63">
      <w:pPr>
        <w:rPr>
          <w:rFonts w:ascii="Helvetica" w:eastAsia="Times New Roman" w:hAnsi="Helvetica" w:cs="Helvetica"/>
          <w:sz w:val="24"/>
          <w:szCs w:val="24"/>
        </w:rPr>
      </w:pPr>
      <w:r>
        <w:rPr>
          <w:rFonts w:ascii="Helvetica" w:eastAsia="Times New Roman" w:hAnsi="Helvetica" w:cs="Helvetica"/>
          <w:sz w:val="24"/>
          <w:szCs w:val="24"/>
        </w:rPr>
        <w:t>I've often looked to public input in the USDA National Organic Program standards development and review process as an example of democracy at its finest. The National Organic Standards Board public interface and NOP rulemaking have always benefitted from outstanding, impassioned and invested stakeholder community feedback and engagement. I would suggest looking toward the NOP and the wider organic community and assess what they're doing well, as examples of how the public might better engage in other regulatory processes. </w:t>
      </w:r>
    </w:p>
    <w:p w14:paraId="07EA501C" w14:textId="77777777" w:rsidR="00CB2E63" w:rsidRDefault="00CB2E63" w:rsidP="00CB2E63">
      <w:pPr>
        <w:rPr>
          <w:rFonts w:ascii="Helvetica" w:eastAsia="Times New Roman" w:hAnsi="Helvetica" w:cs="Helvetica"/>
          <w:sz w:val="24"/>
          <w:szCs w:val="24"/>
        </w:rPr>
      </w:pPr>
    </w:p>
    <w:p w14:paraId="430FF0ED" w14:textId="77777777" w:rsidR="00CB2E63" w:rsidRDefault="00CB2E63" w:rsidP="00CB2E63">
      <w:pPr>
        <w:rPr>
          <w:rFonts w:ascii="Helvetica" w:eastAsia="Times New Roman" w:hAnsi="Helvetica" w:cs="Helvetica"/>
          <w:sz w:val="24"/>
          <w:szCs w:val="24"/>
        </w:rPr>
      </w:pPr>
      <w:r>
        <w:rPr>
          <w:rFonts w:ascii="Helvetica" w:eastAsia="Times New Roman" w:hAnsi="Helvetica" w:cs="Helvetica"/>
          <w:sz w:val="24"/>
          <w:szCs w:val="24"/>
        </w:rPr>
        <w:t>Examples from the successful organic regulatory milieu include: </w:t>
      </w:r>
    </w:p>
    <w:p w14:paraId="559A9B20" w14:textId="77777777" w:rsidR="00CB2E63" w:rsidRDefault="00CB2E63" w:rsidP="00CB2E63">
      <w:pPr>
        <w:numPr>
          <w:ilvl w:val="0"/>
          <w:numId w:val="1"/>
        </w:numPr>
        <w:spacing w:before="100" w:beforeAutospacing="1" w:after="100" w:afterAutospacing="1"/>
        <w:rPr>
          <w:rFonts w:ascii="Helvetica" w:eastAsia="Times New Roman" w:hAnsi="Helvetica" w:cs="Helvetica"/>
          <w:sz w:val="24"/>
          <w:szCs w:val="24"/>
        </w:rPr>
      </w:pPr>
      <w:r>
        <w:rPr>
          <w:rFonts w:ascii="Helvetica" w:eastAsia="Times New Roman" w:hAnsi="Helvetica" w:cs="Helvetica"/>
          <w:sz w:val="24"/>
          <w:szCs w:val="24"/>
        </w:rPr>
        <w:t>instructions on how to submit an effective public comment, </w:t>
      </w:r>
    </w:p>
    <w:p w14:paraId="273DEB1A" w14:textId="77777777" w:rsidR="00CB2E63" w:rsidRDefault="00CB2E63" w:rsidP="00CB2E63">
      <w:pPr>
        <w:numPr>
          <w:ilvl w:val="0"/>
          <w:numId w:val="1"/>
        </w:numPr>
        <w:spacing w:before="100" w:beforeAutospacing="1" w:after="100" w:afterAutospacing="1"/>
        <w:rPr>
          <w:rFonts w:ascii="Helvetica" w:eastAsia="Times New Roman" w:hAnsi="Helvetica" w:cs="Helvetica"/>
          <w:sz w:val="24"/>
          <w:szCs w:val="24"/>
        </w:rPr>
      </w:pPr>
      <w:r>
        <w:rPr>
          <w:rFonts w:ascii="Helvetica" w:eastAsia="Times New Roman" w:hAnsi="Helvetica" w:cs="Helvetica"/>
          <w:sz w:val="24"/>
          <w:szCs w:val="24"/>
        </w:rPr>
        <w:t>well-written regulations and preamble text, </w:t>
      </w:r>
    </w:p>
    <w:p w14:paraId="0D70FB12" w14:textId="77777777" w:rsidR="00CB2E63" w:rsidRDefault="00CB2E63" w:rsidP="00CB2E63">
      <w:pPr>
        <w:numPr>
          <w:ilvl w:val="0"/>
          <w:numId w:val="1"/>
        </w:numPr>
        <w:spacing w:before="100" w:beforeAutospacing="1" w:after="100" w:afterAutospacing="1"/>
        <w:rPr>
          <w:rFonts w:ascii="Helvetica" w:eastAsia="Times New Roman" w:hAnsi="Helvetica" w:cs="Helvetica"/>
          <w:sz w:val="24"/>
          <w:szCs w:val="24"/>
        </w:rPr>
      </w:pPr>
      <w:r>
        <w:rPr>
          <w:rFonts w:ascii="Helvetica" w:eastAsia="Times New Roman" w:hAnsi="Helvetica" w:cs="Helvetica"/>
          <w:sz w:val="24"/>
          <w:szCs w:val="24"/>
        </w:rPr>
        <w:t>investment from community groups/trade associations</w:t>
      </w:r>
    </w:p>
    <w:p w14:paraId="425CA4FA" w14:textId="77777777" w:rsidR="00CB2E63" w:rsidRDefault="00CB2E63" w:rsidP="00CB2E63">
      <w:pPr>
        <w:numPr>
          <w:ilvl w:val="0"/>
          <w:numId w:val="1"/>
        </w:numPr>
        <w:spacing w:before="100" w:beforeAutospacing="1" w:after="100" w:afterAutospacing="1"/>
        <w:rPr>
          <w:rFonts w:ascii="Helvetica" w:eastAsia="Times New Roman" w:hAnsi="Helvetica" w:cs="Helvetica"/>
          <w:sz w:val="24"/>
          <w:szCs w:val="24"/>
        </w:rPr>
      </w:pPr>
      <w:r>
        <w:rPr>
          <w:rFonts w:ascii="Helvetica" w:eastAsia="Times New Roman" w:hAnsi="Helvetica" w:cs="Helvetica"/>
          <w:sz w:val="24"/>
          <w:szCs w:val="24"/>
        </w:rPr>
        <w:t>a functional public/private regulatory partnership, </w:t>
      </w:r>
    </w:p>
    <w:p w14:paraId="7731D093" w14:textId="77777777" w:rsidR="00CB2E63" w:rsidRDefault="00CB2E63" w:rsidP="00CB2E63">
      <w:pPr>
        <w:numPr>
          <w:ilvl w:val="0"/>
          <w:numId w:val="1"/>
        </w:numPr>
        <w:spacing w:before="100" w:beforeAutospacing="1" w:after="100" w:afterAutospacing="1"/>
        <w:rPr>
          <w:rFonts w:ascii="Helvetica" w:eastAsia="Times New Roman" w:hAnsi="Helvetica" w:cs="Helvetica"/>
          <w:sz w:val="24"/>
          <w:szCs w:val="24"/>
        </w:rPr>
      </w:pPr>
      <w:r>
        <w:rPr>
          <w:rFonts w:ascii="Helvetica" w:eastAsia="Times New Roman" w:hAnsi="Helvetica" w:cs="Helvetica"/>
          <w:sz w:val="24"/>
          <w:szCs w:val="24"/>
        </w:rPr>
        <w:t>enabling verbal, written, in-person, and webinar opportunities for input, </w:t>
      </w:r>
    </w:p>
    <w:p w14:paraId="4D1B9BBA" w14:textId="77777777" w:rsidR="00CB2E63" w:rsidRDefault="00CB2E63" w:rsidP="00CB2E63">
      <w:pPr>
        <w:numPr>
          <w:ilvl w:val="0"/>
          <w:numId w:val="1"/>
        </w:numPr>
        <w:spacing w:before="100" w:beforeAutospacing="1" w:after="100" w:afterAutospacing="1"/>
        <w:rPr>
          <w:rFonts w:ascii="Helvetica" w:eastAsia="Times New Roman" w:hAnsi="Helvetica" w:cs="Helvetica"/>
          <w:sz w:val="24"/>
          <w:szCs w:val="24"/>
        </w:rPr>
      </w:pPr>
      <w:r>
        <w:rPr>
          <w:rFonts w:ascii="Helvetica" w:eastAsia="Times New Roman" w:hAnsi="Helvetica" w:cs="Helvetica"/>
          <w:sz w:val="24"/>
          <w:szCs w:val="24"/>
        </w:rPr>
        <w:t>diversity of formats for explaining regulations - infographics, organic learning center, videos... </w:t>
      </w:r>
    </w:p>
    <w:p w14:paraId="37320005" w14:textId="77777777" w:rsidR="00CB2E63" w:rsidRDefault="00CB2E63" w:rsidP="00CB2E63">
      <w:pPr>
        <w:numPr>
          <w:ilvl w:val="0"/>
          <w:numId w:val="1"/>
        </w:numPr>
        <w:spacing w:before="100" w:beforeAutospacing="1" w:after="100" w:afterAutospacing="1"/>
        <w:rPr>
          <w:rFonts w:ascii="Helvetica" w:eastAsia="Times New Roman" w:hAnsi="Helvetica" w:cs="Helvetica"/>
          <w:sz w:val="24"/>
          <w:szCs w:val="24"/>
        </w:rPr>
      </w:pPr>
      <w:r>
        <w:rPr>
          <w:rFonts w:ascii="Helvetica" w:eastAsia="Times New Roman" w:hAnsi="Helvetica" w:cs="Helvetica"/>
          <w:sz w:val="24"/>
          <w:szCs w:val="24"/>
        </w:rPr>
        <w:t>periodic program listening sessions, </w:t>
      </w:r>
    </w:p>
    <w:p w14:paraId="1437844E" w14:textId="77777777" w:rsidR="00CB2E63" w:rsidRDefault="00CB2E63" w:rsidP="00CB2E63">
      <w:pPr>
        <w:numPr>
          <w:ilvl w:val="0"/>
          <w:numId w:val="1"/>
        </w:numPr>
        <w:spacing w:before="100" w:beforeAutospacing="1" w:after="100" w:afterAutospacing="1"/>
        <w:rPr>
          <w:rFonts w:ascii="Helvetica" w:eastAsia="Times New Roman" w:hAnsi="Helvetica" w:cs="Helvetica"/>
          <w:sz w:val="24"/>
          <w:szCs w:val="24"/>
        </w:rPr>
      </w:pPr>
      <w:r>
        <w:rPr>
          <w:rFonts w:ascii="Helvetica" w:eastAsia="Times New Roman" w:hAnsi="Helvetica" w:cs="Helvetica"/>
          <w:sz w:val="24"/>
          <w:szCs w:val="24"/>
        </w:rPr>
        <w:t>staff outreach at conferences, and meetings</w:t>
      </w:r>
    </w:p>
    <w:p w14:paraId="30DB5890" w14:textId="77777777" w:rsidR="00CB2E63" w:rsidRDefault="00CB2E63" w:rsidP="00CB2E63">
      <w:pPr>
        <w:numPr>
          <w:ilvl w:val="0"/>
          <w:numId w:val="1"/>
        </w:numPr>
        <w:spacing w:before="100" w:beforeAutospacing="1" w:after="100" w:afterAutospacing="1"/>
        <w:rPr>
          <w:rFonts w:ascii="Helvetica" w:eastAsia="Times New Roman" w:hAnsi="Helvetica" w:cs="Helvetica"/>
          <w:sz w:val="24"/>
          <w:szCs w:val="24"/>
        </w:rPr>
      </w:pPr>
      <w:r>
        <w:rPr>
          <w:rFonts w:ascii="Helvetica" w:eastAsia="Times New Roman" w:hAnsi="Helvetica" w:cs="Helvetica"/>
          <w:sz w:val="24"/>
          <w:szCs w:val="24"/>
        </w:rPr>
        <w:t>targeted training sessions</w:t>
      </w:r>
    </w:p>
    <w:p w14:paraId="69E156F0" w14:textId="77777777" w:rsidR="00CB2E63" w:rsidRDefault="00CB2E63" w:rsidP="00CB2E63">
      <w:pPr>
        <w:numPr>
          <w:ilvl w:val="0"/>
          <w:numId w:val="1"/>
        </w:numPr>
        <w:spacing w:before="100" w:beforeAutospacing="1" w:after="100" w:afterAutospacing="1"/>
        <w:rPr>
          <w:rFonts w:ascii="Helvetica" w:eastAsia="Times New Roman" w:hAnsi="Helvetica" w:cs="Helvetica"/>
          <w:sz w:val="24"/>
          <w:szCs w:val="24"/>
        </w:rPr>
      </w:pPr>
      <w:r>
        <w:rPr>
          <w:rFonts w:ascii="Helvetica" w:eastAsia="Times New Roman" w:hAnsi="Helvetica" w:cs="Helvetica"/>
          <w:sz w:val="24"/>
          <w:szCs w:val="24"/>
        </w:rPr>
        <w:t>providing updates on forthcoming rulemaking and comment opportunities, and </w:t>
      </w:r>
    </w:p>
    <w:p w14:paraId="04D13219" w14:textId="77777777" w:rsidR="00CB2E63" w:rsidRDefault="00CB2E63" w:rsidP="00CB2E63">
      <w:pPr>
        <w:numPr>
          <w:ilvl w:val="0"/>
          <w:numId w:val="1"/>
        </w:numPr>
        <w:spacing w:before="100" w:beforeAutospacing="1" w:after="100" w:afterAutospacing="1"/>
        <w:rPr>
          <w:rFonts w:ascii="Helvetica" w:eastAsia="Times New Roman" w:hAnsi="Helvetica" w:cs="Helvetica"/>
          <w:sz w:val="24"/>
          <w:szCs w:val="24"/>
        </w:rPr>
      </w:pPr>
      <w:r>
        <w:rPr>
          <w:rFonts w:ascii="Helvetica" w:eastAsia="Times New Roman" w:hAnsi="Helvetica" w:cs="Helvetica"/>
          <w:sz w:val="24"/>
          <w:szCs w:val="24"/>
        </w:rPr>
        <w:t>locating NOSB meetings around the country.</w:t>
      </w:r>
    </w:p>
    <w:p w14:paraId="687B94B0" w14:textId="77777777" w:rsidR="00CB2E63" w:rsidRDefault="00CB2E63" w:rsidP="00CB2E63">
      <w:pPr>
        <w:rPr>
          <w:rFonts w:ascii="Helvetica" w:eastAsia="Times New Roman" w:hAnsi="Helvetica" w:cs="Helvetica"/>
          <w:sz w:val="24"/>
          <w:szCs w:val="24"/>
        </w:rPr>
      </w:pPr>
      <w:r>
        <w:rPr>
          <w:rFonts w:ascii="Helvetica" w:eastAsia="Times New Roman" w:hAnsi="Helvetica" w:cs="Helvetica"/>
          <w:sz w:val="24"/>
          <w:szCs w:val="24"/>
        </w:rPr>
        <w:t>Thanks for the effort and consideration for better engagement in other regulations.</w:t>
      </w:r>
      <w:r>
        <w:rPr>
          <w:rFonts w:ascii="Helvetica" w:eastAsia="Times New Roman" w:hAnsi="Helvetica" w:cs="Helvetica"/>
          <w:sz w:val="24"/>
          <w:szCs w:val="24"/>
        </w:rPr>
        <w:br/>
      </w:r>
      <w:r>
        <w:rPr>
          <w:rFonts w:ascii="Helvetica" w:eastAsia="Times New Roman" w:hAnsi="Helvetica" w:cs="Helvetica"/>
          <w:sz w:val="24"/>
          <w:szCs w:val="24"/>
        </w:rPr>
        <w:br/>
        <w:t> - Steve Walker, Viroqua, WI</w:t>
      </w:r>
    </w:p>
    <w:p w14:paraId="68041933" w14:textId="77777777" w:rsidR="00CB2E63" w:rsidRDefault="00CB2E63" w:rsidP="00CB2E63">
      <w:pPr>
        <w:rPr>
          <w:rFonts w:ascii="Helvetica" w:eastAsia="Times New Roman" w:hAnsi="Helvetica" w:cs="Helvetica"/>
          <w:sz w:val="24"/>
          <w:szCs w:val="24"/>
        </w:rPr>
      </w:pPr>
    </w:p>
    <w:p w14:paraId="00479DA3" w14:textId="77777777" w:rsidR="00CB2E63" w:rsidRDefault="00CB2E63" w:rsidP="00CB2E63">
      <w:pPr>
        <w:rPr>
          <w:rFonts w:ascii="Helvetica" w:eastAsia="Times New Roman" w:hAnsi="Helvetica" w:cs="Helvetica"/>
          <w:sz w:val="24"/>
          <w:szCs w:val="24"/>
        </w:rPr>
      </w:pPr>
    </w:p>
    <w:p w14:paraId="3613F784" w14:textId="77777777" w:rsidR="0038465C" w:rsidRDefault="0038465C"/>
    <w:sectPr w:rsidR="003846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11754"/>
    <w:multiLevelType w:val="multilevel"/>
    <w:tmpl w:val="597662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E63"/>
    <w:rsid w:val="00287B9F"/>
    <w:rsid w:val="0038465C"/>
    <w:rsid w:val="00A62D92"/>
    <w:rsid w:val="00CB2E63"/>
    <w:rsid w:val="00E810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FEBBF"/>
  <w15:chartTrackingRefBased/>
  <w15:docId w15:val="{5BCCD18F-0C31-4730-A320-2BE8D13A6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2E63"/>
    <w:pPr>
      <w:spacing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98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217</Words>
  <Characters>1237</Characters>
  <Application>Microsoft Office Word</Application>
  <DocSecurity>0</DocSecurity>
  <Lines>10</Lines>
  <Paragraphs>2</Paragraphs>
  <ScaleCrop>false</ScaleCrop>
  <Company/>
  <LinksUpToDate>false</LinksUpToDate>
  <CharactersWithSpaces>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Hertel-fernandez, Alexander W. EOP/OMB</dc:creator>
  <cp:keywords/>
  <dc:description/>
  <cp:lastModifiedBy>Hertel-fernandez, Alexander W. EOP/OMB</cp:lastModifiedBy>
  <cp:revision>1</cp:revision>
  <dcterms:created xsi:type="dcterms:W3CDTF">2023-04-21T15:49:00Z</dcterms:created>
  <dcterms:modified xsi:type="dcterms:W3CDTF">2023-04-21T15:49:00Z</dcterms:modified>
</cp:coreProperties>
</file>